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C0" w:rsidRPr="002C5BC0" w:rsidRDefault="002C5BC0" w:rsidP="002C5BC0">
      <w:pPr>
        <w:tabs>
          <w:tab w:val="center" w:pos="7560"/>
        </w:tabs>
        <w:spacing w:after="0" w:line="120" w:lineRule="atLeast"/>
        <w:jc w:val="center"/>
        <w:rPr>
          <w:rFonts w:ascii="Calibri" w:hAnsi="Calibri"/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568"/>
      </w:tblGrid>
      <w:tr w:rsidR="002C5BC0" w:rsidRPr="002B38EC" w:rsidTr="005E0C55">
        <w:tc>
          <w:tcPr>
            <w:tcW w:w="4361" w:type="dxa"/>
            <w:vMerge w:val="restart"/>
          </w:tcPr>
          <w:p w:rsidR="002C5BC0" w:rsidRPr="002B38EC" w:rsidRDefault="002C5BC0" w:rsidP="002B38EC">
            <w:pPr>
              <w:spacing w:before="60"/>
              <w:rPr>
                <w:b/>
              </w:rPr>
            </w:pPr>
            <w:r w:rsidRPr="002B38EC">
              <w:rPr>
                <w:b/>
                <w:noProof/>
                <w:lang w:eastAsia="cs-CZ"/>
              </w:rPr>
              <w:drawing>
                <wp:inline distT="0" distB="0" distL="0" distR="0" wp14:anchorId="329D50CD" wp14:editId="58319652">
                  <wp:extent cx="825500" cy="8255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33" cy="82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2C5BC0" w:rsidRPr="002B38EC" w:rsidRDefault="002C5BC0" w:rsidP="002B38EC">
            <w:pPr>
              <w:spacing w:before="60" w:line="240" w:lineRule="atLeast"/>
              <w:rPr>
                <w:b/>
              </w:rPr>
            </w:pPr>
          </w:p>
        </w:tc>
        <w:tc>
          <w:tcPr>
            <w:tcW w:w="4568" w:type="dxa"/>
          </w:tcPr>
          <w:p w:rsidR="002C5BC0" w:rsidRPr="002B38EC" w:rsidRDefault="002C5BC0" w:rsidP="002B38EC">
            <w:pPr>
              <w:tabs>
                <w:tab w:val="center" w:pos="7560"/>
              </w:tabs>
              <w:spacing w:before="60" w:line="240" w:lineRule="atLeast"/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2C5BC0" w:rsidTr="005E0C55">
        <w:tc>
          <w:tcPr>
            <w:tcW w:w="4361" w:type="dxa"/>
            <w:vMerge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283" w:type="dxa"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4568" w:type="dxa"/>
          </w:tcPr>
          <w:p w:rsidR="002C5BC0" w:rsidRDefault="002C5BC0" w:rsidP="002C5BC0">
            <w:pPr>
              <w:tabs>
                <w:tab w:val="center" w:pos="7560"/>
              </w:tabs>
              <w:spacing w:line="240" w:lineRule="atLeast"/>
              <w:ind w:left="567"/>
            </w:pPr>
            <w:r>
              <w:rPr>
                <w:rFonts w:ascii="Calibri" w:hAnsi="Calibri"/>
                <w:caps/>
              </w:rPr>
              <w:t>U</w:t>
            </w:r>
            <w:r w:rsidRPr="00731DEB">
              <w:rPr>
                <w:rFonts w:ascii="Calibri" w:hAnsi="Calibri"/>
                <w:caps/>
              </w:rPr>
              <w:t>niverzita Karlova</w:t>
            </w:r>
          </w:p>
        </w:tc>
      </w:tr>
      <w:tr w:rsidR="002C5BC0" w:rsidTr="005E0C55">
        <w:tc>
          <w:tcPr>
            <w:tcW w:w="4361" w:type="dxa"/>
            <w:vMerge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283" w:type="dxa"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4568" w:type="dxa"/>
          </w:tcPr>
          <w:p w:rsidR="002C5BC0" w:rsidRDefault="002C5BC0" w:rsidP="002C5BC0">
            <w:pPr>
              <w:tabs>
                <w:tab w:val="center" w:pos="7560"/>
              </w:tabs>
              <w:spacing w:line="240" w:lineRule="atLeast"/>
              <w:ind w:left="567"/>
            </w:pPr>
            <w:r w:rsidRPr="00731DEB">
              <w:rPr>
                <w:rFonts w:ascii="Calibri" w:hAnsi="Calibri"/>
              </w:rPr>
              <w:t>2. lékařská fakulta</w:t>
            </w:r>
          </w:p>
        </w:tc>
      </w:tr>
      <w:tr w:rsidR="002C5BC0" w:rsidTr="005E0C55">
        <w:tc>
          <w:tcPr>
            <w:tcW w:w="4361" w:type="dxa"/>
            <w:vMerge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283" w:type="dxa"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4568" w:type="dxa"/>
          </w:tcPr>
          <w:p w:rsidR="002C5BC0" w:rsidRPr="002C5BC0" w:rsidRDefault="006C73D3" w:rsidP="002C5BC0">
            <w:pPr>
              <w:spacing w:line="240" w:lineRule="atLeast"/>
              <w:ind w:left="567"/>
              <w:rPr>
                <w:rFonts w:ascii="Calibri" w:hAnsi="Calibri"/>
              </w:rPr>
            </w:pPr>
            <w:r w:rsidRPr="002C5BC0">
              <w:rPr>
                <w:rFonts w:ascii="Calibri" w:hAnsi="Calibri"/>
              </w:rPr>
              <w:t>V Úvalu 84</w:t>
            </w:r>
          </w:p>
        </w:tc>
      </w:tr>
      <w:tr w:rsidR="002C5BC0" w:rsidTr="005E0C55">
        <w:tc>
          <w:tcPr>
            <w:tcW w:w="4361" w:type="dxa"/>
            <w:vMerge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283" w:type="dxa"/>
          </w:tcPr>
          <w:p w:rsidR="002C5BC0" w:rsidRDefault="002C5BC0" w:rsidP="002C5BC0">
            <w:pPr>
              <w:spacing w:line="240" w:lineRule="atLeast"/>
              <w:ind w:left="1134"/>
            </w:pPr>
          </w:p>
        </w:tc>
        <w:tc>
          <w:tcPr>
            <w:tcW w:w="4568" w:type="dxa"/>
          </w:tcPr>
          <w:p w:rsidR="002C5BC0" w:rsidRDefault="006C73D3" w:rsidP="006C73D3">
            <w:pPr>
              <w:spacing w:line="240" w:lineRule="atLeast"/>
              <w:ind w:left="567"/>
            </w:pPr>
            <w:proofErr w:type="gramStart"/>
            <w:r>
              <w:rPr>
                <w:rFonts w:ascii="Calibri" w:hAnsi="Calibri"/>
              </w:rPr>
              <w:t>150 06  Praha</w:t>
            </w:r>
            <w:proofErr w:type="gramEnd"/>
            <w:r>
              <w:rPr>
                <w:rFonts w:ascii="Calibri" w:hAnsi="Calibri"/>
              </w:rPr>
              <w:t xml:space="preserve"> 5</w:t>
            </w:r>
            <w:r w:rsidR="002C5BC0" w:rsidRPr="002C5BC0">
              <w:rPr>
                <w:rFonts w:ascii="Calibri" w:hAnsi="Calibri"/>
              </w:rPr>
              <w:t xml:space="preserve"> – Motol</w:t>
            </w:r>
          </w:p>
        </w:tc>
      </w:tr>
    </w:tbl>
    <w:p w:rsidR="002C5BC0" w:rsidRDefault="002C5BC0" w:rsidP="002C5BC0">
      <w:pPr>
        <w:spacing w:after="0" w:line="120" w:lineRule="atLeast"/>
        <w:ind w:left="1134"/>
        <w:rPr>
          <w:sz w:val="4"/>
          <w:szCs w:val="4"/>
        </w:rPr>
      </w:pPr>
    </w:p>
    <w:p w:rsidR="005E0C55" w:rsidRDefault="005E0C55" w:rsidP="005E0C55">
      <w:pPr>
        <w:ind w:left="2999" w:right="1787" w:hanging="1298"/>
        <w:jc w:val="center"/>
        <w:rPr>
          <w:rFonts w:ascii="Corbel" w:eastAsia="Times New Roman" w:hAnsi="Corbel"/>
          <w:b/>
          <w:sz w:val="32"/>
          <w:szCs w:val="32"/>
        </w:rPr>
      </w:pPr>
    </w:p>
    <w:p w:rsidR="00B27B46" w:rsidRPr="0034672C" w:rsidRDefault="00B27B46" w:rsidP="005E0C55">
      <w:pPr>
        <w:ind w:left="2999" w:right="1787" w:hanging="1298"/>
        <w:jc w:val="center"/>
        <w:rPr>
          <w:rFonts w:ascii="Corbel" w:eastAsia="Times New Roman" w:hAnsi="Corbel"/>
          <w:b/>
          <w:sz w:val="32"/>
          <w:szCs w:val="32"/>
        </w:rPr>
      </w:pPr>
    </w:p>
    <w:p w:rsidR="005E0C55" w:rsidRPr="00B27B46" w:rsidRDefault="005E0C55" w:rsidP="005E0C55">
      <w:pPr>
        <w:spacing w:after="0"/>
        <w:ind w:left="2999" w:right="1786" w:hanging="1298"/>
        <w:jc w:val="center"/>
        <w:rPr>
          <w:rFonts w:ascii="Corbel" w:eastAsia="Times New Roman" w:hAnsi="Corbel"/>
          <w:b/>
          <w:sz w:val="52"/>
          <w:szCs w:val="52"/>
        </w:rPr>
      </w:pPr>
      <w:r w:rsidRPr="00B27B46">
        <w:rPr>
          <w:rFonts w:ascii="Corbel" w:eastAsia="Times New Roman" w:hAnsi="Corbel"/>
          <w:b/>
          <w:sz w:val="52"/>
          <w:szCs w:val="52"/>
        </w:rPr>
        <w:t xml:space="preserve">Příloha A </w:t>
      </w:r>
    </w:p>
    <w:p w:rsidR="005E0C55" w:rsidRPr="0034672C" w:rsidRDefault="005E0C55" w:rsidP="00B27B46">
      <w:pPr>
        <w:spacing w:before="120" w:after="0"/>
        <w:ind w:left="851"/>
        <w:rPr>
          <w:rFonts w:ascii="Corbel" w:eastAsia="Times New Roman" w:hAnsi="Corbel"/>
          <w:b/>
          <w:sz w:val="44"/>
          <w:szCs w:val="44"/>
        </w:rPr>
      </w:pPr>
      <w:proofErr w:type="gramStart"/>
      <w:r w:rsidRPr="0034672C">
        <w:rPr>
          <w:rFonts w:ascii="Corbel" w:eastAsia="Times New Roman" w:hAnsi="Corbel"/>
          <w:b/>
          <w:sz w:val="44"/>
          <w:szCs w:val="44"/>
        </w:rPr>
        <w:t>k  Opatření</w:t>
      </w:r>
      <w:proofErr w:type="gramEnd"/>
      <w:r w:rsidRPr="0034672C">
        <w:rPr>
          <w:rFonts w:ascii="Corbel" w:eastAsia="Times New Roman" w:hAnsi="Corbel"/>
          <w:b/>
          <w:sz w:val="44"/>
          <w:szCs w:val="44"/>
        </w:rPr>
        <w:t xml:space="preserve"> děkana č. 14/2009</w:t>
      </w:r>
    </w:p>
    <w:p w:rsidR="005E0C55" w:rsidRPr="0034672C" w:rsidRDefault="005E0C55" w:rsidP="00B27B46">
      <w:pPr>
        <w:spacing w:before="120" w:after="0"/>
        <w:ind w:left="851"/>
        <w:rPr>
          <w:rFonts w:ascii="Corbel" w:eastAsia="Times New Roman" w:hAnsi="Corbel"/>
          <w:sz w:val="36"/>
          <w:szCs w:val="36"/>
        </w:rPr>
      </w:pPr>
      <w:r w:rsidRPr="0034672C">
        <w:rPr>
          <w:rFonts w:ascii="Corbel" w:eastAsia="Times New Roman" w:hAnsi="Corbel"/>
          <w:sz w:val="36"/>
          <w:szCs w:val="36"/>
        </w:rPr>
        <w:t xml:space="preserve">o poskytování a vyúčtování cestovních náhrad </w:t>
      </w:r>
    </w:p>
    <w:p w:rsidR="005E0C55" w:rsidRPr="0034672C" w:rsidRDefault="005E0C55" w:rsidP="005E0C55">
      <w:pPr>
        <w:tabs>
          <w:tab w:val="left" w:pos="0"/>
        </w:tabs>
        <w:spacing w:before="19" w:line="260" w:lineRule="exact"/>
        <w:rPr>
          <w:rFonts w:ascii="Corbel" w:hAnsi="Corbel"/>
          <w:sz w:val="24"/>
          <w:szCs w:val="24"/>
        </w:rPr>
      </w:pPr>
    </w:p>
    <w:p w:rsidR="00B27B46" w:rsidRPr="0034672C" w:rsidRDefault="00B27B46" w:rsidP="005E0C55">
      <w:pPr>
        <w:spacing w:line="200" w:lineRule="exact"/>
        <w:rPr>
          <w:rFonts w:ascii="Corbel" w:hAnsi="Corbel"/>
          <w:sz w:val="24"/>
          <w:szCs w:val="24"/>
        </w:rPr>
      </w:pPr>
    </w:p>
    <w:p w:rsidR="005E0C55" w:rsidRDefault="005E0C55" w:rsidP="0034672C">
      <w:pPr>
        <w:spacing w:after="0" w:line="240" w:lineRule="atLeast"/>
        <w:rPr>
          <w:rFonts w:ascii="Corbel" w:eastAsia="Times New Roman" w:hAnsi="Corbel"/>
          <w:b/>
          <w:sz w:val="32"/>
          <w:szCs w:val="32"/>
        </w:rPr>
      </w:pPr>
      <w:r w:rsidRPr="00B27B46">
        <w:rPr>
          <w:rFonts w:ascii="Corbel" w:eastAsia="Times New Roman" w:hAnsi="Corbel"/>
          <w:b/>
          <w:sz w:val="32"/>
          <w:szCs w:val="32"/>
        </w:rPr>
        <w:t>Platná výše cestovních náhrad při tuzemské pracovní cestě</w:t>
      </w:r>
    </w:p>
    <w:p w:rsidR="00674B99" w:rsidRPr="00674B99" w:rsidRDefault="00674B99" w:rsidP="0034672C">
      <w:pPr>
        <w:spacing w:after="0" w:line="240" w:lineRule="atLeast"/>
        <w:rPr>
          <w:rFonts w:ascii="Corbel" w:eastAsia="Times New Roman" w:hAnsi="Corbel"/>
          <w:b/>
          <w:sz w:val="28"/>
          <w:szCs w:val="28"/>
        </w:rPr>
      </w:pPr>
      <w:r w:rsidRPr="00674B99">
        <w:rPr>
          <w:rFonts w:ascii="Corbel" w:eastAsia="Times New Roman" w:hAnsi="Corbel"/>
          <w:b/>
          <w:sz w:val="28"/>
          <w:szCs w:val="28"/>
        </w:rPr>
        <w:t>viz Vyhláška č. 463/2017 Sb.</w:t>
      </w:r>
    </w:p>
    <w:p w:rsidR="005E0C55" w:rsidRPr="00B27B46" w:rsidRDefault="005E0C55" w:rsidP="006C73D3">
      <w:pPr>
        <w:spacing w:before="240" w:after="0" w:line="240" w:lineRule="atLeast"/>
        <w:ind w:left="435" w:hanging="435"/>
        <w:rPr>
          <w:rFonts w:ascii="Corbel" w:hAnsi="Corbel"/>
          <w:sz w:val="24"/>
          <w:szCs w:val="24"/>
        </w:rPr>
      </w:pPr>
      <w:r w:rsidRPr="00B27B46">
        <w:rPr>
          <w:rFonts w:ascii="Corbel" w:hAnsi="Corbel"/>
          <w:sz w:val="24"/>
          <w:szCs w:val="24"/>
        </w:rPr>
        <w:t xml:space="preserve">Za každý kalendářní den pracovní cesty poskytne zaměstnavatel zaměstnanci stravné podle </w:t>
      </w:r>
    </w:p>
    <w:p w:rsidR="005E0C55" w:rsidRPr="00B27B46" w:rsidRDefault="005E0C55" w:rsidP="006C73D3">
      <w:pPr>
        <w:spacing w:before="240" w:after="0" w:line="240" w:lineRule="atLeast"/>
        <w:ind w:left="435" w:hanging="435"/>
        <w:rPr>
          <w:rFonts w:ascii="Corbel" w:hAnsi="Corbel"/>
          <w:sz w:val="24"/>
          <w:szCs w:val="24"/>
        </w:rPr>
      </w:pPr>
      <w:r w:rsidRPr="00B27B46">
        <w:rPr>
          <w:rFonts w:ascii="Corbel" w:hAnsi="Corbel"/>
          <w:sz w:val="24"/>
          <w:szCs w:val="24"/>
        </w:rPr>
        <w:t xml:space="preserve">§ 176 odst. 1 </w:t>
      </w:r>
      <w:r w:rsidR="00674B99">
        <w:rPr>
          <w:rFonts w:ascii="Corbel" w:hAnsi="Corbel"/>
          <w:sz w:val="24"/>
          <w:szCs w:val="24"/>
        </w:rPr>
        <w:t>Z</w:t>
      </w:r>
      <w:r w:rsidRPr="00B27B46">
        <w:rPr>
          <w:rFonts w:ascii="Corbel" w:hAnsi="Corbel"/>
          <w:sz w:val="24"/>
          <w:szCs w:val="24"/>
        </w:rPr>
        <w:t>ákoníku práce (státní sféra) v navrhované výši:</w:t>
      </w:r>
    </w:p>
    <w:p w:rsidR="005E0C55" w:rsidRPr="00B27B46" w:rsidRDefault="005E0C55" w:rsidP="006C73D3">
      <w:pPr>
        <w:spacing w:before="240" w:after="0" w:line="240" w:lineRule="atLeast"/>
        <w:ind w:left="435" w:hanging="435"/>
        <w:rPr>
          <w:rFonts w:ascii="Corbel" w:hAnsi="Corbel"/>
          <w:sz w:val="24"/>
          <w:szCs w:val="24"/>
        </w:rPr>
      </w:pPr>
      <w:r w:rsidRPr="00B27B46">
        <w:rPr>
          <w:rFonts w:ascii="Corbel" w:hAnsi="Corbel"/>
          <w:sz w:val="24"/>
          <w:szCs w:val="24"/>
        </w:rPr>
        <w:t>•</w:t>
      </w:r>
      <w:r w:rsidRPr="00B27B46">
        <w:rPr>
          <w:rFonts w:ascii="Corbel" w:hAnsi="Corbel"/>
          <w:sz w:val="24"/>
          <w:szCs w:val="24"/>
        </w:rPr>
        <w:tab/>
        <w:t>7</w:t>
      </w:r>
      <w:r w:rsidR="00B27B46" w:rsidRPr="00B27B46">
        <w:rPr>
          <w:rFonts w:ascii="Corbel" w:hAnsi="Corbel"/>
          <w:sz w:val="24"/>
          <w:szCs w:val="24"/>
        </w:rPr>
        <w:t>8</w:t>
      </w:r>
      <w:r w:rsidRPr="00B27B46">
        <w:rPr>
          <w:rFonts w:ascii="Corbel" w:hAnsi="Corbel"/>
          <w:sz w:val="24"/>
          <w:szCs w:val="24"/>
        </w:rPr>
        <w:t xml:space="preserve"> Kč, trvá-li pracovní cesta 5 až 12 hodin,</w:t>
      </w:r>
    </w:p>
    <w:p w:rsidR="005E0C55" w:rsidRPr="00B27B46" w:rsidRDefault="005E0C55" w:rsidP="006C73D3">
      <w:pPr>
        <w:spacing w:before="240" w:after="0" w:line="240" w:lineRule="atLeast"/>
        <w:ind w:left="435" w:hanging="435"/>
        <w:rPr>
          <w:rFonts w:ascii="Corbel" w:hAnsi="Corbel"/>
          <w:sz w:val="24"/>
          <w:szCs w:val="24"/>
        </w:rPr>
      </w:pPr>
      <w:r w:rsidRPr="00B27B46">
        <w:rPr>
          <w:rFonts w:ascii="Corbel" w:hAnsi="Corbel"/>
          <w:sz w:val="24"/>
          <w:szCs w:val="24"/>
        </w:rPr>
        <w:t>•</w:t>
      </w:r>
      <w:r w:rsidRPr="00B27B46">
        <w:rPr>
          <w:rFonts w:ascii="Corbel" w:hAnsi="Corbel"/>
          <w:sz w:val="24"/>
          <w:szCs w:val="24"/>
        </w:rPr>
        <w:tab/>
        <w:t>1</w:t>
      </w:r>
      <w:r w:rsidR="00B27B46" w:rsidRPr="00B27B46">
        <w:rPr>
          <w:rFonts w:ascii="Corbel" w:hAnsi="Corbel"/>
          <w:sz w:val="24"/>
          <w:szCs w:val="24"/>
        </w:rPr>
        <w:t>1</w:t>
      </w:r>
      <w:r w:rsidRPr="00B27B46">
        <w:rPr>
          <w:rFonts w:ascii="Corbel" w:hAnsi="Corbel"/>
          <w:sz w:val="24"/>
          <w:szCs w:val="24"/>
        </w:rPr>
        <w:t>9 Kč, trvá-li pracovní cesta déle než 12 hodin, nejdéle však 18 hodin,</w:t>
      </w:r>
    </w:p>
    <w:p w:rsidR="005E0C55" w:rsidRPr="00B27B46" w:rsidRDefault="005E0C55" w:rsidP="006C73D3">
      <w:pPr>
        <w:spacing w:before="240" w:after="0" w:line="240" w:lineRule="atLeast"/>
        <w:ind w:left="435" w:hanging="435"/>
        <w:rPr>
          <w:rFonts w:ascii="Corbel" w:hAnsi="Corbel"/>
          <w:sz w:val="24"/>
          <w:szCs w:val="24"/>
        </w:rPr>
      </w:pPr>
      <w:r w:rsidRPr="00B27B46">
        <w:rPr>
          <w:rFonts w:ascii="Corbel" w:hAnsi="Corbel"/>
          <w:sz w:val="24"/>
          <w:szCs w:val="24"/>
        </w:rPr>
        <w:t>•</w:t>
      </w:r>
      <w:r w:rsidRPr="00B27B46">
        <w:rPr>
          <w:rFonts w:ascii="Corbel" w:hAnsi="Corbel"/>
          <w:sz w:val="24"/>
          <w:szCs w:val="24"/>
        </w:rPr>
        <w:tab/>
        <w:t>1</w:t>
      </w:r>
      <w:r w:rsidR="00B27B46" w:rsidRPr="00B27B46">
        <w:rPr>
          <w:rFonts w:ascii="Corbel" w:hAnsi="Corbel"/>
          <w:sz w:val="24"/>
          <w:szCs w:val="24"/>
        </w:rPr>
        <w:t>86</w:t>
      </w:r>
      <w:r w:rsidRPr="00B27B46">
        <w:rPr>
          <w:rFonts w:ascii="Corbel" w:hAnsi="Corbel"/>
          <w:sz w:val="24"/>
          <w:szCs w:val="24"/>
        </w:rPr>
        <w:t xml:space="preserve"> Kč, trvá-li pracovní cesta déle než 18 hodin.</w:t>
      </w:r>
    </w:p>
    <w:p w:rsidR="005E0C55" w:rsidRPr="00B27B46" w:rsidRDefault="005E0C55" w:rsidP="006C73D3">
      <w:pPr>
        <w:spacing w:before="240" w:after="0" w:line="240" w:lineRule="atLeast"/>
        <w:ind w:right="-20"/>
        <w:rPr>
          <w:rFonts w:ascii="Corbel" w:eastAsia="Times New Roman" w:hAnsi="Corbel"/>
          <w:sz w:val="24"/>
          <w:szCs w:val="24"/>
        </w:rPr>
      </w:pPr>
      <w:r w:rsidRPr="00B27B46">
        <w:rPr>
          <w:rFonts w:ascii="Corbel" w:eastAsia="Times New Roman" w:hAnsi="Corbel"/>
          <w:sz w:val="24"/>
          <w:szCs w:val="24"/>
        </w:rPr>
        <w:t>Tato příloha nabývá platnosti a ú</w:t>
      </w:r>
      <w:r w:rsidRPr="00B27B46">
        <w:rPr>
          <w:rFonts w:ascii="Corbel" w:eastAsia="Arial" w:hAnsi="Corbel"/>
          <w:sz w:val="24"/>
          <w:szCs w:val="24"/>
        </w:rPr>
        <w:t>č</w:t>
      </w:r>
      <w:r w:rsidRPr="00B27B46">
        <w:rPr>
          <w:rFonts w:ascii="Corbel" w:eastAsia="Times New Roman" w:hAnsi="Corbel"/>
          <w:sz w:val="24"/>
          <w:szCs w:val="24"/>
        </w:rPr>
        <w:t>innosti dne 1. 1. 2018.</w:t>
      </w:r>
    </w:p>
    <w:p w:rsidR="006C73D3" w:rsidRDefault="006C73D3" w:rsidP="006C73D3">
      <w:pPr>
        <w:spacing w:before="240" w:after="0" w:line="240" w:lineRule="atLeast"/>
        <w:ind w:left="360" w:hanging="360"/>
        <w:rPr>
          <w:rFonts w:ascii="Corbel" w:hAnsi="Corbel"/>
          <w:sz w:val="24"/>
          <w:szCs w:val="24"/>
        </w:rPr>
      </w:pPr>
    </w:p>
    <w:p w:rsidR="00B27B46" w:rsidRDefault="005E0C55" w:rsidP="006C73D3">
      <w:pPr>
        <w:spacing w:before="240" w:after="0" w:line="240" w:lineRule="atLeast"/>
        <w:ind w:left="360" w:hanging="360"/>
        <w:rPr>
          <w:rFonts w:ascii="Corbel" w:hAnsi="Corbel"/>
          <w:sz w:val="24"/>
          <w:szCs w:val="24"/>
        </w:rPr>
      </w:pPr>
      <w:bookmarkStart w:id="0" w:name="_GoBack"/>
      <w:bookmarkEnd w:id="0"/>
      <w:r w:rsidRPr="00B27B46">
        <w:rPr>
          <w:rFonts w:ascii="Corbel" w:hAnsi="Corbel"/>
          <w:sz w:val="24"/>
          <w:szCs w:val="24"/>
        </w:rPr>
        <w:t>V Praze dne 1. 1. 2018</w:t>
      </w:r>
    </w:p>
    <w:p w:rsidR="00B27B46" w:rsidRDefault="00B27B46" w:rsidP="00B27B46">
      <w:pPr>
        <w:spacing w:after="0" w:line="240" w:lineRule="atLeast"/>
        <w:ind w:left="360" w:hanging="360"/>
        <w:rPr>
          <w:rFonts w:ascii="Corbel" w:hAnsi="Corbel"/>
          <w:sz w:val="24"/>
          <w:szCs w:val="24"/>
        </w:rPr>
      </w:pPr>
    </w:p>
    <w:p w:rsidR="006C73D3" w:rsidRDefault="006C73D3" w:rsidP="00B27B46">
      <w:pPr>
        <w:spacing w:after="0" w:line="240" w:lineRule="atLeast"/>
        <w:ind w:left="360" w:hanging="360"/>
        <w:rPr>
          <w:rFonts w:ascii="Corbel" w:hAnsi="Corbel"/>
          <w:sz w:val="24"/>
          <w:szCs w:val="24"/>
        </w:rPr>
      </w:pPr>
    </w:p>
    <w:p w:rsidR="005E0C55" w:rsidRPr="00B27B46" w:rsidRDefault="005E0C55" w:rsidP="00B27B46">
      <w:pPr>
        <w:spacing w:after="0" w:line="240" w:lineRule="atLeast"/>
        <w:ind w:left="360" w:hanging="360"/>
        <w:rPr>
          <w:rFonts w:ascii="Corbel" w:hAnsi="Corbel"/>
          <w:sz w:val="24"/>
          <w:szCs w:val="24"/>
        </w:rPr>
      </w:pPr>
      <w:r w:rsidRPr="00B27B46">
        <w:rPr>
          <w:rFonts w:ascii="Corbel" w:hAnsi="Corbel"/>
          <w:sz w:val="24"/>
          <w:szCs w:val="24"/>
        </w:rPr>
        <w:tab/>
      </w:r>
      <w:r w:rsidRPr="00B27B46">
        <w:rPr>
          <w:rFonts w:ascii="Corbel" w:hAnsi="Corbel"/>
          <w:sz w:val="24"/>
          <w:szCs w:val="24"/>
        </w:rPr>
        <w:tab/>
      </w:r>
      <w:r w:rsidRPr="00B27B46">
        <w:rPr>
          <w:rFonts w:ascii="Corbel" w:hAnsi="Corbel"/>
          <w:sz w:val="24"/>
          <w:szCs w:val="24"/>
        </w:rPr>
        <w:tab/>
      </w:r>
      <w:r w:rsidRPr="00B27B46">
        <w:rPr>
          <w:rFonts w:ascii="Corbel" w:hAnsi="Corbel"/>
          <w:sz w:val="24"/>
          <w:szCs w:val="24"/>
        </w:rPr>
        <w:tab/>
      </w:r>
    </w:p>
    <w:p w:rsidR="0034672C" w:rsidRPr="002C5BC0" w:rsidRDefault="0034672C" w:rsidP="0034672C">
      <w:pPr>
        <w:tabs>
          <w:tab w:val="center" w:pos="7560"/>
        </w:tabs>
        <w:spacing w:after="0" w:line="120" w:lineRule="atLeast"/>
        <w:jc w:val="center"/>
        <w:rPr>
          <w:rFonts w:ascii="Calibri" w:hAnsi="Calibri"/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568"/>
      </w:tblGrid>
      <w:tr w:rsidR="0034672C" w:rsidRPr="002B38EC" w:rsidTr="0034672C">
        <w:tc>
          <w:tcPr>
            <w:tcW w:w="4361" w:type="dxa"/>
            <w:vMerge w:val="restart"/>
          </w:tcPr>
          <w:p w:rsidR="0034672C" w:rsidRPr="002B38EC" w:rsidRDefault="0034672C" w:rsidP="009D65D3">
            <w:pPr>
              <w:spacing w:before="60"/>
              <w:rPr>
                <w:b/>
              </w:rPr>
            </w:pPr>
          </w:p>
        </w:tc>
        <w:tc>
          <w:tcPr>
            <w:tcW w:w="283" w:type="dxa"/>
          </w:tcPr>
          <w:p w:rsidR="0034672C" w:rsidRPr="002B38EC" w:rsidRDefault="0034672C" w:rsidP="009D65D3">
            <w:pPr>
              <w:spacing w:before="60" w:line="240" w:lineRule="atLeast"/>
              <w:rPr>
                <w:b/>
              </w:rPr>
            </w:pPr>
          </w:p>
        </w:tc>
        <w:tc>
          <w:tcPr>
            <w:tcW w:w="4568" w:type="dxa"/>
            <w:tcBorders>
              <w:bottom w:val="dashSmallGap" w:sz="4" w:space="0" w:color="auto"/>
            </w:tcBorders>
          </w:tcPr>
          <w:p w:rsidR="0034672C" w:rsidRPr="002B38EC" w:rsidRDefault="0034672C" w:rsidP="009D65D3">
            <w:pPr>
              <w:tabs>
                <w:tab w:val="center" w:pos="7560"/>
              </w:tabs>
              <w:spacing w:before="60" w:line="240" w:lineRule="atLeast"/>
              <w:jc w:val="center"/>
              <w:rPr>
                <w:rFonts w:ascii="Calibri" w:hAnsi="Calibri"/>
                <w:b/>
                <w:caps/>
              </w:rPr>
            </w:pPr>
          </w:p>
        </w:tc>
      </w:tr>
      <w:tr w:rsidR="0034672C" w:rsidTr="0034672C">
        <w:tc>
          <w:tcPr>
            <w:tcW w:w="4361" w:type="dxa"/>
            <w:vMerge/>
          </w:tcPr>
          <w:p w:rsidR="0034672C" w:rsidRDefault="0034672C" w:rsidP="009D65D3">
            <w:pPr>
              <w:spacing w:line="240" w:lineRule="atLeast"/>
              <w:ind w:left="1134"/>
            </w:pPr>
          </w:p>
        </w:tc>
        <w:tc>
          <w:tcPr>
            <w:tcW w:w="283" w:type="dxa"/>
          </w:tcPr>
          <w:p w:rsidR="0034672C" w:rsidRDefault="0034672C" w:rsidP="009D65D3">
            <w:pPr>
              <w:spacing w:line="240" w:lineRule="atLeast"/>
              <w:ind w:left="1134"/>
            </w:pPr>
          </w:p>
        </w:tc>
        <w:tc>
          <w:tcPr>
            <w:tcW w:w="4568" w:type="dxa"/>
            <w:tcBorders>
              <w:top w:val="dashSmallGap" w:sz="4" w:space="0" w:color="auto"/>
            </w:tcBorders>
          </w:tcPr>
          <w:p w:rsidR="0034672C" w:rsidRPr="002C5BC0" w:rsidRDefault="0034672C" w:rsidP="0034672C">
            <w:pPr>
              <w:tabs>
                <w:tab w:val="center" w:pos="7020"/>
              </w:tabs>
              <w:spacing w:before="120"/>
              <w:ind w:left="357"/>
              <w:rPr>
                <w:rFonts w:ascii="Calibri" w:hAnsi="Calibri"/>
              </w:rPr>
            </w:pPr>
            <w:r w:rsidRPr="0034672C">
              <w:rPr>
                <w:rFonts w:ascii="Corbel" w:hAnsi="Corbel"/>
              </w:rPr>
              <w:t>prof. MUDr. Vladimír Komárek, CSc.</w:t>
            </w:r>
          </w:p>
        </w:tc>
      </w:tr>
      <w:tr w:rsidR="0034672C" w:rsidTr="009D65D3">
        <w:tc>
          <w:tcPr>
            <w:tcW w:w="4361" w:type="dxa"/>
            <w:vMerge/>
          </w:tcPr>
          <w:p w:rsidR="0034672C" w:rsidRDefault="0034672C" w:rsidP="009D65D3">
            <w:pPr>
              <w:spacing w:line="240" w:lineRule="atLeast"/>
              <w:ind w:left="1134"/>
            </w:pPr>
          </w:p>
        </w:tc>
        <w:tc>
          <w:tcPr>
            <w:tcW w:w="283" w:type="dxa"/>
          </w:tcPr>
          <w:p w:rsidR="0034672C" w:rsidRDefault="0034672C" w:rsidP="0034672C">
            <w:pPr>
              <w:spacing w:before="120" w:line="240" w:lineRule="atLeast"/>
              <w:ind w:left="1134"/>
            </w:pPr>
          </w:p>
        </w:tc>
        <w:tc>
          <w:tcPr>
            <w:tcW w:w="4568" w:type="dxa"/>
          </w:tcPr>
          <w:p w:rsidR="0034672C" w:rsidRDefault="0034672C" w:rsidP="0034672C">
            <w:pPr>
              <w:tabs>
                <w:tab w:val="center" w:pos="7020"/>
              </w:tabs>
              <w:spacing w:before="120"/>
              <w:ind w:left="360"/>
            </w:pPr>
            <w:r w:rsidRPr="0034672C">
              <w:rPr>
                <w:rFonts w:ascii="Corbel" w:hAnsi="Corbel"/>
              </w:rPr>
              <w:t>děkan fakulty</w:t>
            </w:r>
          </w:p>
        </w:tc>
      </w:tr>
    </w:tbl>
    <w:p w:rsidR="0034672C" w:rsidRDefault="0034672C" w:rsidP="0034672C">
      <w:pPr>
        <w:spacing w:after="0" w:line="120" w:lineRule="atLeast"/>
        <w:ind w:left="1134"/>
        <w:rPr>
          <w:sz w:val="4"/>
          <w:szCs w:val="4"/>
        </w:rPr>
      </w:pPr>
    </w:p>
    <w:p w:rsidR="0034672C" w:rsidRPr="0034672C" w:rsidRDefault="0034672C" w:rsidP="0034672C">
      <w:pPr>
        <w:ind w:left="2999" w:right="1787" w:hanging="1298"/>
        <w:jc w:val="center"/>
        <w:rPr>
          <w:rFonts w:ascii="Corbel" w:eastAsia="Times New Roman" w:hAnsi="Corbel"/>
          <w:b/>
          <w:sz w:val="32"/>
          <w:szCs w:val="32"/>
        </w:rPr>
      </w:pPr>
    </w:p>
    <w:p w:rsidR="005E0C55" w:rsidRPr="0034672C" w:rsidRDefault="005E0C55" w:rsidP="002C5BC0">
      <w:pPr>
        <w:spacing w:after="0" w:line="120" w:lineRule="atLeast"/>
        <w:ind w:left="1134"/>
        <w:rPr>
          <w:rFonts w:ascii="Corbel" w:hAnsi="Corbel"/>
          <w:sz w:val="4"/>
          <w:szCs w:val="4"/>
        </w:rPr>
      </w:pPr>
    </w:p>
    <w:sectPr w:rsidR="005E0C55" w:rsidRPr="0034672C" w:rsidSect="005E0C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C0"/>
    <w:rsid w:val="001220FE"/>
    <w:rsid w:val="002B38EC"/>
    <w:rsid w:val="002C5BC0"/>
    <w:rsid w:val="002F1C42"/>
    <w:rsid w:val="0034672C"/>
    <w:rsid w:val="005E0C55"/>
    <w:rsid w:val="00635705"/>
    <w:rsid w:val="00674B99"/>
    <w:rsid w:val="006C73D3"/>
    <w:rsid w:val="00740631"/>
    <w:rsid w:val="00B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B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B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C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Rohošková</dc:creator>
  <cp:lastModifiedBy>Marie Rohošková</cp:lastModifiedBy>
  <cp:revision>4</cp:revision>
  <dcterms:created xsi:type="dcterms:W3CDTF">2018-01-11T08:03:00Z</dcterms:created>
  <dcterms:modified xsi:type="dcterms:W3CDTF">2018-01-12T09:43:00Z</dcterms:modified>
</cp:coreProperties>
</file>